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姜新剑</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52133300010</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生理学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2</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2</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A Simple and Compact MR-Compatible Electromagnetic Vibrotactile Stimulator</w:t>
            </w:r>
          </w:p>
        </w:tc>
        <w:tc>
          <w:tcPr>
            <w:tcW w:w="1945" w:type="dxa"/>
            <w:gridSpan w:val="6"/>
            <w:shd w:val="clear" w:color="auto" w:fill="auto"/>
            <w:vAlign w:val="center"/>
          </w:tcPr>
          <w:p>
            <w:pPr>
              <w:jc w:val="center"/>
              <w:rPr>
                <w:rFonts w:hint="eastAsia"/>
                <w:szCs w:val="21"/>
              </w:rPr>
            </w:pPr>
            <w:r>
              <w:rPr>
                <w:szCs w:val="21"/>
              </w:rPr>
              <w:t>Frontiers in Neuroscience</w:t>
            </w:r>
          </w:p>
        </w:tc>
        <w:tc>
          <w:tcPr>
            <w:tcW w:w="1531" w:type="dxa"/>
            <w:gridSpan w:val="6"/>
            <w:shd w:val="clear" w:color="auto" w:fill="auto"/>
            <w:vAlign w:val="center"/>
          </w:tcPr>
          <w:p>
            <w:pPr>
              <w:spacing w:line="210" w:lineRule="exact"/>
              <w:jc w:val="center"/>
              <w:rPr>
                <w:szCs w:val="21"/>
              </w:rPr>
            </w:pPr>
            <w:r>
              <w:rPr>
                <w:szCs w:val="21"/>
              </w:rPr>
              <w:t>2020.01,Volume 13, Arti</w:t>
            </w:r>
          </w:p>
          <w:p>
            <w:pPr>
              <w:spacing w:line="210" w:lineRule="exact"/>
              <w:jc w:val="center"/>
              <w:rPr>
                <w:rFonts w:hint="eastAsia"/>
                <w:szCs w:val="21"/>
              </w:rPr>
            </w:pPr>
            <w:r>
              <w:rPr>
                <w:szCs w:val="21"/>
              </w:rPr>
              <w:t>cle 1403</w:t>
            </w:r>
          </w:p>
        </w:tc>
        <w:tc>
          <w:tcPr>
            <w:tcW w:w="1080" w:type="dxa"/>
            <w:gridSpan w:val="3"/>
            <w:shd w:val="clear" w:color="auto" w:fill="auto"/>
            <w:vAlign w:val="center"/>
          </w:tcPr>
          <w:p>
            <w:pPr>
              <w:jc w:val="center"/>
              <w:rPr>
                <w:rFonts w:hint="eastAsia"/>
                <w:szCs w:val="21"/>
              </w:rPr>
            </w:pPr>
            <w:r>
              <w:rPr>
                <w:szCs w:val="21"/>
              </w:rPr>
              <w:t>SCIE</w:t>
            </w:r>
          </w:p>
        </w:tc>
        <w:tc>
          <w:tcPr>
            <w:tcW w:w="720" w:type="dxa"/>
            <w:shd w:val="clear" w:color="auto" w:fill="auto"/>
            <w:vAlign w:val="center"/>
          </w:tcPr>
          <w:p>
            <w:pPr>
              <w:jc w:val="center"/>
              <w:rPr>
                <w:rFonts w:hint="eastAsia"/>
                <w:szCs w:val="21"/>
              </w:rPr>
            </w:pPr>
            <w:r>
              <w:rPr>
                <w:rFonts w:hint="eastAsia"/>
                <w:szCs w:val="21"/>
              </w:rPr>
              <w:t>第一作者</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Language and Sensory Neural Plasticity in the Superior Temporal Cortex of the Deaf</w:t>
            </w:r>
          </w:p>
        </w:tc>
        <w:tc>
          <w:tcPr>
            <w:tcW w:w="1945" w:type="dxa"/>
            <w:gridSpan w:val="6"/>
            <w:shd w:val="clear" w:color="auto" w:fill="auto"/>
            <w:vAlign w:val="center"/>
          </w:tcPr>
          <w:p>
            <w:pPr>
              <w:jc w:val="center"/>
              <w:rPr>
                <w:szCs w:val="21"/>
              </w:rPr>
            </w:pPr>
            <w:r>
              <w:rPr>
                <w:szCs w:val="21"/>
              </w:rPr>
              <w:t>Neural Pl</w:t>
            </w:r>
          </w:p>
          <w:p>
            <w:pPr>
              <w:jc w:val="center"/>
              <w:rPr>
                <w:rFonts w:hint="eastAsia"/>
                <w:szCs w:val="21"/>
              </w:rPr>
            </w:pPr>
            <w:r>
              <w:rPr>
                <w:szCs w:val="21"/>
              </w:rPr>
              <w:t>asticity</w:t>
            </w:r>
          </w:p>
        </w:tc>
        <w:tc>
          <w:tcPr>
            <w:tcW w:w="1531" w:type="dxa"/>
            <w:gridSpan w:val="6"/>
            <w:shd w:val="clear" w:color="auto" w:fill="auto"/>
            <w:vAlign w:val="center"/>
          </w:tcPr>
          <w:p>
            <w:pPr>
              <w:spacing w:line="210" w:lineRule="exact"/>
              <w:jc w:val="center"/>
              <w:rPr>
                <w:szCs w:val="21"/>
              </w:rPr>
            </w:pPr>
            <w:r>
              <w:rPr>
                <w:szCs w:val="21"/>
              </w:rPr>
              <w:t xml:space="preserve">2018.05,Volume 2018, Article ID 9456891, </w:t>
            </w:r>
          </w:p>
          <w:p>
            <w:pPr>
              <w:spacing w:line="210" w:lineRule="exact"/>
              <w:jc w:val="center"/>
              <w:rPr>
                <w:rFonts w:hint="eastAsia"/>
                <w:szCs w:val="21"/>
              </w:rPr>
            </w:pPr>
            <w:r>
              <w:rPr>
                <w:szCs w:val="21"/>
              </w:rPr>
              <w:t>17 pages</w:t>
            </w:r>
          </w:p>
        </w:tc>
        <w:tc>
          <w:tcPr>
            <w:tcW w:w="1080" w:type="dxa"/>
            <w:gridSpan w:val="3"/>
            <w:shd w:val="clear" w:color="auto" w:fill="auto"/>
            <w:vAlign w:val="center"/>
          </w:tcPr>
          <w:p>
            <w:pPr>
              <w:jc w:val="center"/>
              <w:rPr>
                <w:rFonts w:hint="eastAsia"/>
                <w:szCs w:val="21"/>
              </w:rPr>
            </w:pPr>
            <w:r>
              <w:rPr>
                <w:szCs w:val="21"/>
              </w:rPr>
              <w:t>SCIE</w:t>
            </w:r>
          </w:p>
        </w:tc>
        <w:tc>
          <w:tcPr>
            <w:tcW w:w="720" w:type="dxa"/>
            <w:shd w:val="clear" w:color="auto" w:fill="auto"/>
            <w:vAlign w:val="center"/>
          </w:tcPr>
          <w:p>
            <w:pPr>
              <w:jc w:val="center"/>
              <w:rPr>
                <w:rFonts w:hint="eastAsia"/>
                <w:szCs w:val="21"/>
              </w:rPr>
            </w:pPr>
            <w:r>
              <w:rPr>
                <w:rFonts w:hint="eastAsia"/>
                <w:szCs w:val="21"/>
              </w:rPr>
              <w:t>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rPr>
                <w:rFonts w:hint="eastAsia"/>
                <w:szCs w:val="21"/>
              </w:rPr>
            </w:pPr>
            <w:r>
              <w:rPr>
                <w:rFonts w:hint="eastAsia"/>
                <w:szCs w:val="21"/>
              </w:rPr>
              <w:t>以第一作者身份在Current Biology发表SCI论文“Production of Supra-regular Spatial Sequences by Macaque Monkeys”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dPJwAkmBkYr6zlSy8wWL0fzIWFq1XScOUyt2heiAuIMLV14Tvu1aOGWjwb915Rtk6XkRUUTDYKXqU55tl21oxw==" w:salt="HXw1ijJB8IEIYz5ddeUSh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37816"/>
    <w:rsid w:val="00D655CC"/>
    <w:rsid w:val="00DE64B7"/>
    <w:rsid w:val="00E37668"/>
    <w:rsid w:val="00EC777C"/>
    <w:rsid w:val="00F63C53"/>
    <w:rsid w:val="05140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142</Words>
  <Characters>814</Characters>
  <Lines>6</Lines>
  <Paragraphs>1</Paragraphs>
  <TotalTime>0</TotalTime>
  <ScaleCrop>false</ScaleCrop>
  <LinksUpToDate>false</LinksUpToDate>
  <CharactersWithSpaces>955</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2020-04-08T11:53:00Z</dcterms:created>
  <dc:creator>Windows 用户</dc:creator>
  <cp:lastModifiedBy>Administrator</cp:lastModifiedBy>
  <cp:lastPrinted>2009-03-27T04:02:00Z</cp:lastPrinted>
  <dcterms:modified xsi:type="dcterms:W3CDTF">2020-04-08T11:53:31Z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